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64497" w14:textId="185FC966" w:rsidR="00131ACD" w:rsidRPr="00E6726D" w:rsidRDefault="00131ACD" w:rsidP="00131ACD">
      <w:pPr>
        <w:pStyle w:val="a3"/>
        <w:tabs>
          <w:tab w:val="right" w:pos="9639"/>
        </w:tabs>
        <w:rPr>
          <w:rFonts w:eastAsia="MS Mincho"/>
          <w:noProof w:val="0"/>
          <w:sz w:val="24"/>
          <w:szCs w:val="24"/>
          <w:lang w:val="en-GB" w:eastAsia="en-GB"/>
        </w:rPr>
      </w:pPr>
      <w:r w:rsidRPr="00E6726D">
        <w:rPr>
          <w:rFonts w:eastAsia="MS Mincho"/>
          <w:noProof w:val="0"/>
          <w:sz w:val="24"/>
          <w:szCs w:val="24"/>
          <w:lang w:val="en-GB" w:eastAsia="en-GB"/>
        </w:rPr>
        <w:t>3GPP TSG-RAN WG2 Meeting #129bis</w:t>
      </w:r>
      <w:r w:rsidRPr="00E6726D">
        <w:rPr>
          <w:rFonts w:eastAsia="MS Mincho"/>
          <w:noProof w:val="0"/>
          <w:sz w:val="24"/>
          <w:szCs w:val="24"/>
          <w:lang w:val="en-GB" w:eastAsia="en-GB"/>
        </w:rPr>
        <w:tab/>
      </w:r>
      <w:r w:rsidR="00946A47" w:rsidRPr="00946A47">
        <w:rPr>
          <w:rFonts w:eastAsia="MS Mincho"/>
          <w:noProof w:val="0"/>
          <w:sz w:val="24"/>
          <w:szCs w:val="24"/>
          <w:lang w:val="en-GB" w:eastAsia="en-GB"/>
        </w:rPr>
        <w:t>R2-2502356</w:t>
      </w:r>
    </w:p>
    <w:p w14:paraId="2D2A63AC" w14:textId="44B40000" w:rsidR="00C978FF" w:rsidRPr="00D44D17" w:rsidRDefault="00131ACD" w:rsidP="00131ACD">
      <w:pPr>
        <w:pStyle w:val="a3"/>
        <w:tabs>
          <w:tab w:val="right" w:pos="9639"/>
        </w:tabs>
        <w:jc w:val="both"/>
        <w:rPr>
          <w:rFonts w:eastAsiaTheme="minorEastAsia" w:cs="Arial"/>
          <w:b w:val="0"/>
          <w:bCs/>
          <w:i/>
          <w:iCs/>
          <w:sz w:val="24"/>
          <w:lang w:eastAsia="zh-CN"/>
        </w:rPr>
      </w:pPr>
      <w:r w:rsidRPr="00E6726D">
        <w:rPr>
          <w:rFonts w:eastAsia="MS Mincho"/>
          <w:noProof w:val="0"/>
          <w:sz w:val="24"/>
          <w:szCs w:val="24"/>
          <w:lang w:val="en-GB" w:eastAsia="en-GB"/>
        </w:rPr>
        <w:t>Wuhan, China, Apr. 7</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xml:space="preserve"> – 11</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2025</w:t>
      </w:r>
      <w:r w:rsidR="00C978FF">
        <w:rPr>
          <w:rFonts w:eastAsiaTheme="minorEastAsia" w:hint="eastAsia"/>
          <w:noProof w:val="0"/>
          <w:sz w:val="24"/>
          <w:szCs w:val="24"/>
          <w:lang w:val="en-GB" w:eastAsia="zh-CN"/>
        </w:rPr>
        <w:t xml:space="preserve">                       </w:t>
      </w:r>
      <w:r>
        <w:rPr>
          <w:rFonts w:eastAsiaTheme="minorEastAsia" w:hint="eastAsia"/>
          <w:noProof w:val="0"/>
          <w:sz w:val="24"/>
          <w:szCs w:val="24"/>
          <w:lang w:val="en-GB" w:eastAsia="zh-CN"/>
        </w:rPr>
        <w:t xml:space="preserve">    </w:t>
      </w:r>
      <w:r w:rsidR="00C978FF" w:rsidRPr="00D44D17">
        <w:rPr>
          <w:rFonts w:eastAsiaTheme="minorEastAsia" w:hint="eastAsia"/>
          <w:b w:val="0"/>
          <w:bCs/>
          <w:i/>
          <w:iCs/>
          <w:noProof w:val="0"/>
          <w:sz w:val="24"/>
          <w:szCs w:val="24"/>
          <w:lang w:val="en-GB" w:eastAsia="zh-CN"/>
        </w:rPr>
        <w:t>Revision of R2-2</w:t>
      </w:r>
      <w:r>
        <w:rPr>
          <w:rFonts w:eastAsiaTheme="minorEastAsia" w:hint="eastAsia"/>
          <w:b w:val="0"/>
          <w:bCs/>
          <w:i/>
          <w:iCs/>
          <w:noProof w:val="0"/>
          <w:sz w:val="24"/>
          <w:szCs w:val="24"/>
          <w:lang w:val="en-GB" w:eastAsia="zh-CN"/>
        </w:rPr>
        <w:t>500619</w:t>
      </w:r>
    </w:p>
    <w:p w14:paraId="1A10DE58" w14:textId="77777777" w:rsidR="00186BCD" w:rsidRPr="00C978FF"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A28AAEC" w14:textId="6CA14427" w:rsidR="00C978FF" w:rsidRDefault="00B24530" w:rsidP="00870C96">
      <w:pPr>
        <w:spacing w:beforeLines="50" w:before="156" w:afterLines="50" w:after="156"/>
        <w:rPr>
          <w:rFonts w:ascii="Times New Roman" w:hAnsi="Times New Roman"/>
          <w:sz w:val="22"/>
        </w:rPr>
      </w:pPr>
      <w:r>
        <w:rPr>
          <w:rFonts w:ascii="Times New Roman" w:hAnsi="Times New Roman"/>
          <w:sz w:val="22"/>
        </w:rPr>
        <w:t>The latest RAN2</w:t>
      </w:r>
      <w:r w:rsidR="00F11C93">
        <w:rPr>
          <w:rFonts w:ascii="Times New Roman" w:hAnsi="Times New Roman" w:hint="eastAsia"/>
          <w:sz w:val="22"/>
        </w:rPr>
        <w:t>#12</w:t>
      </w:r>
      <w:r w:rsidR="0000587F">
        <w:rPr>
          <w:rFonts w:ascii="Times New Roman" w:hAnsi="Times New Roman" w:hint="eastAsia"/>
          <w:sz w:val="22"/>
        </w:rPr>
        <w:t xml:space="preserve">9 </w:t>
      </w:r>
      <w:r>
        <w:rPr>
          <w:rFonts w:ascii="Times New Roman" w:hAnsi="Times New Roman"/>
          <w:sz w:val="22"/>
        </w:rPr>
        <w:t>meeting made the following agreement</w:t>
      </w:r>
      <w:r w:rsidR="009E1AF5">
        <w:rPr>
          <w:rFonts w:ascii="Times New Roman" w:hAnsi="Times New Roman" w:hint="eastAsia"/>
          <w:sz w:val="22"/>
        </w:rPr>
        <w:t>s and working assumptions</w:t>
      </w:r>
      <w:r>
        <w:rPr>
          <w:rFonts w:ascii="Times New Roman" w:hAnsi="Times New Roman"/>
          <w:sz w:val="22"/>
        </w:rPr>
        <w:t xml:space="preserve"> regarding</w:t>
      </w:r>
      <w:r w:rsidR="001C059F" w:rsidRPr="001C059F">
        <w:rPr>
          <w:rFonts w:ascii="Times New Roman" w:hAnsi="Times New Roman"/>
          <w:sz w:val="22"/>
        </w:rPr>
        <w:t xml:space="preserve"> </w:t>
      </w:r>
      <w:r w:rsidRPr="00B24530">
        <w:rPr>
          <w:rFonts w:ascii="Times New Roman" w:hAnsi="Times New Roman"/>
          <w:sz w:val="22"/>
        </w:rPr>
        <w:t>uplink capacity enhancements</w:t>
      </w:r>
      <w:r>
        <w:rPr>
          <w:rFonts w:ascii="Times New Roman" w:hAnsi="Times New Roman"/>
          <w:sz w:val="22"/>
        </w:rPr>
        <w:t xml:space="preserve"> in</w:t>
      </w:r>
      <w:r w:rsidR="001C059F" w:rsidRPr="001C059F">
        <w:rPr>
          <w:rFonts w:ascii="Times New Roman" w:hAnsi="Times New Roman"/>
          <w:sz w:val="22"/>
        </w:rPr>
        <w:t xml:space="preserve"> Rel-19 IoT NTN:</w:t>
      </w:r>
    </w:p>
    <w:tbl>
      <w:tblPr>
        <w:tblStyle w:val="af1"/>
        <w:tblW w:w="0" w:type="auto"/>
        <w:tblLook w:val="04A0" w:firstRow="1" w:lastRow="0" w:firstColumn="1" w:lastColumn="0" w:noHBand="0" w:noVBand="1"/>
      </w:tblPr>
      <w:tblGrid>
        <w:gridCol w:w="9629"/>
      </w:tblGrid>
      <w:tr w:rsidR="00C978FF" w14:paraId="19A0B26C" w14:textId="77777777" w:rsidTr="00C978FF">
        <w:tc>
          <w:tcPr>
            <w:tcW w:w="9629" w:type="dxa"/>
          </w:tcPr>
          <w:p w14:paraId="29073D89" w14:textId="24B0D2CA" w:rsidR="007A54A5" w:rsidRPr="009E1AF5" w:rsidRDefault="007A54A5" w:rsidP="0000587F">
            <w:pPr>
              <w:rPr>
                <w:rFonts w:ascii="Times New Roman" w:hAnsi="Times New Roman"/>
                <w:b/>
                <w:bCs/>
                <w:sz w:val="22"/>
              </w:rPr>
            </w:pPr>
            <w:r w:rsidRPr="009E1AF5">
              <w:rPr>
                <w:rFonts w:ascii="Times New Roman" w:hAnsi="Times New Roman"/>
                <w:b/>
                <w:bCs/>
                <w:sz w:val="22"/>
              </w:rPr>
              <w:t>RAN2#12</w:t>
            </w:r>
            <w:r w:rsidR="0000587F" w:rsidRPr="009E1AF5">
              <w:rPr>
                <w:rFonts w:ascii="Times New Roman" w:hAnsi="Times New Roman" w:hint="eastAsia"/>
                <w:b/>
                <w:bCs/>
                <w:sz w:val="22"/>
              </w:rPr>
              <w:t>9</w:t>
            </w:r>
            <w:r w:rsidRPr="009E1AF5">
              <w:rPr>
                <w:rFonts w:ascii="Times New Roman" w:hAnsi="Times New Roman"/>
                <w:b/>
                <w:bCs/>
                <w:sz w:val="22"/>
              </w:rPr>
              <w:t xml:space="preserve"> agreements:</w:t>
            </w:r>
          </w:p>
          <w:p w14:paraId="7DC585A4" w14:textId="1D62BD88" w:rsidR="007A54A5" w:rsidRPr="0000587F" w:rsidRDefault="007A54A5" w:rsidP="0000587F">
            <w:pPr>
              <w:pStyle w:val="a6"/>
              <w:numPr>
                <w:ilvl w:val="0"/>
                <w:numId w:val="50"/>
              </w:numPr>
              <w:spacing w:after="0"/>
              <w:ind w:firstLineChars="0"/>
              <w:rPr>
                <w:sz w:val="22"/>
              </w:rPr>
            </w:pPr>
            <w:r w:rsidRPr="0000587F">
              <w:rPr>
                <w:sz w:val="22"/>
              </w:rPr>
              <w:t xml:space="preserve">It is FFS if separate CB-msg3 resources would be needed for CB-msg-3 using OCC or if the same CB-msg3 resources could be used </w:t>
            </w:r>
          </w:p>
          <w:p w14:paraId="1DA4CF81" w14:textId="47A56ECC" w:rsidR="007A54A5" w:rsidRPr="0000587F" w:rsidRDefault="007A54A5" w:rsidP="0000587F">
            <w:pPr>
              <w:pStyle w:val="a6"/>
              <w:numPr>
                <w:ilvl w:val="0"/>
                <w:numId w:val="50"/>
              </w:numPr>
              <w:spacing w:after="0"/>
              <w:ind w:firstLineChars="0"/>
              <w:rPr>
                <w:sz w:val="22"/>
              </w:rPr>
            </w:pPr>
            <w:r w:rsidRPr="0000587F">
              <w:rPr>
                <w:sz w:val="22"/>
              </w:rPr>
              <w:t>RAN2 assumes that one possibility to take power imbalance under control is to define RSRP ranges that need to be respected to transmit CB-msg3 using OCC</w:t>
            </w:r>
          </w:p>
          <w:p w14:paraId="56B94321" w14:textId="471F20A8" w:rsidR="007A54A5" w:rsidRPr="0000587F" w:rsidRDefault="007A54A5" w:rsidP="0000587F">
            <w:pPr>
              <w:pStyle w:val="a6"/>
              <w:numPr>
                <w:ilvl w:val="0"/>
                <w:numId w:val="50"/>
              </w:numPr>
              <w:spacing w:after="0"/>
              <w:ind w:firstLineChars="0"/>
              <w:rPr>
                <w:sz w:val="22"/>
              </w:rPr>
            </w:pPr>
            <w:r w:rsidRPr="0000587F">
              <w:rPr>
                <w:sz w:val="22"/>
              </w:rPr>
              <w:t>RAN2 assumes that at least the following will be part of the shared resources configuration for CB-msg3 (FFS on other aspects)</w:t>
            </w:r>
          </w:p>
          <w:p w14:paraId="1C513CD4" w14:textId="36949D2F" w:rsidR="007A54A5" w:rsidRPr="0000587F" w:rsidRDefault="007A54A5" w:rsidP="0000587F">
            <w:pPr>
              <w:pStyle w:val="a6"/>
              <w:numPr>
                <w:ilvl w:val="1"/>
                <w:numId w:val="53"/>
              </w:numPr>
              <w:spacing w:after="0"/>
              <w:ind w:firstLineChars="0"/>
              <w:rPr>
                <w:sz w:val="22"/>
              </w:rPr>
            </w:pPr>
            <w:r w:rsidRPr="0000587F">
              <w:rPr>
                <w:sz w:val="22"/>
              </w:rPr>
              <w:t>Time domain resources for (N)PUSCH occasions: periodicity and start time (e.g., start subframe, start SFN)</w:t>
            </w:r>
          </w:p>
          <w:p w14:paraId="739763CF" w14:textId="19F98CA5" w:rsidR="007A54A5" w:rsidRPr="0000587F" w:rsidRDefault="007A54A5" w:rsidP="0000587F">
            <w:pPr>
              <w:pStyle w:val="a6"/>
              <w:numPr>
                <w:ilvl w:val="1"/>
                <w:numId w:val="53"/>
              </w:numPr>
              <w:spacing w:after="0"/>
              <w:ind w:firstLineChars="0"/>
              <w:rPr>
                <w:sz w:val="22"/>
              </w:rPr>
            </w:pPr>
            <w:r w:rsidRPr="0000587F">
              <w:rPr>
                <w:sz w:val="22"/>
              </w:rPr>
              <w:t xml:space="preserve">Frequency domain resources for (N)PUSCH occasions </w:t>
            </w:r>
          </w:p>
          <w:p w14:paraId="11DCF164" w14:textId="178B896B" w:rsidR="007A54A5" w:rsidRPr="0000587F" w:rsidRDefault="007A54A5" w:rsidP="0000587F">
            <w:pPr>
              <w:pStyle w:val="a6"/>
              <w:numPr>
                <w:ilvl w:val="1"/>
                <w:numId w:val="53"/>
              </w:numPr>
              <w:spacing w:after="0"/>
              <w:ind w:firstLineChars="0"/>
              <w:rPr>
                <w:sz w:val="22"/>
              </w:rPr>
            </w:pPr>
            <w:r w:rsidRPr="0000587F">
              <w:rPr>
                <w:sz w:val="22"/>
              </w:rPr>
              <w:t>repetition number</w:t>
            </w:r>
          </w:p>
          <w:p w14:paraId="64254019" w14:textId="79F30834" w:rsidR="007A54A5" w:rsidRPr="0000587F" w:rsidRDefault="007A54A5" w:rsidP="0000587F">
            <w:pPr>
              <w:pStyle w:val="a6"/>
              <w:numPr>
                <w:ilvl w:val="1"/>
                <w:numId w:val="53"/>
              </w:numPr>
              <w:spacing w:after="0"/>
              <w:ind w:firstLineChars="0"/>
              <w:rPr>
                <w:sz w:val="22"/>
              </w:rPr>
            </w:pPr>
            <w:r w:rsidRPr="0000587F">
              <w:rPr>
                <w:sz w:val="22"/>
              </w:rPr>
              <w:t>(N)PDCCH resource</w:t>
            </w:r>
          </w:p>
          <w:p w14:paraId="0418F6D2" w14:textId="59201D95" w:rsidR="007A54A5" w:rsidRPr="0000587F" w:rsidRDefault="007A54A5" w:rsidP="0000587F">
            <w:pPr>
              <w:pStyle w:val="a6"/>
              <w:numPr>
                <w:ilvl w:val="1"/>
                <w:numId w:val="53"/>
              </w:numPr>
              <w:spacing w:after="0"/>
              <w:ind w:firstLineChars="0"/>
              <w:rPr>
                <w:sz w:val="22"/>
              </w:rPr>
            </w:pPr>
            <w:r w:rsidRPr="0000587F">
              <w:rPr>
                <w:sz w:val="22"/>
              </w:rPr>
              <w:t>MCS</w:t>
            </w:r>
          </w:p>
          <w:p w14:paraId="4CC193CE" w14:textId="60B1F657" w:rsidR="007A54A5" w:rsidRPr="007A54A5" w:rsidRDefault="007A54A5" w:rsidP="0000587F">
            <w:pPr>
              <w:pStyle w:val="a6"/>
              <w:numPr>
                <w:ilvl w:val="0"/>
                <w:numId w:val="50"/>
              </w:numPr>
              <w:spacing w:after="0"/>
              <w:ind w:firstLineChars="0"/>
              <w:rPr>
                <w:sz w:val="22"/>
              </w:rPr>
            </w:pPr>
            <w:r w:rsidRPr="007A54A5">
              <w:rPr>
                <w:sz w:val="22"/>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3950248C" w14:textId="538CDF2B" w:rsidR="007A54A5" w:rsidRPr="007A54A5" w:rsidRDefault="007A54A5" w:rsidP="0000587F">
            <w:pPr>
              <w:pStyle w:val="a6"/>
              <w:numPr>
                <w:ilvl w:val="0"/>
                <w:numId w:val="50"/>
              </w:numPr>
              <w:spacing w:after="0"/>
              <w:ind w:firstLineChars="0"/>
              <w:rPr>
                <w:sz w:val="22"/>
              </w:rPr>
            </w:pPr>
            <w:r w:rsidRPr="007A54A5">
              <w:rPr>
                <w:sz w:val="22"/>
              </w:rPr>
              <w:t>The UE shall at most have one ongoing CB EDT procedure at any time.</w:t>
            </w:r>
          </w:p>
          <w:p w14:paraId="5296D91D" w14:textId="1C063D62" w:rsidR="007A54A5" w:rsidRPr="007A54A5" w:rsidRDefault="007A54A5" w:rsidP="0000587F">
            <w:pPr>
              <w:pStyle w:val="a6"/>
              <w:numPr>
                <w:ilvl w:val="0"/>
                <w:numId w:val="50"/>
              </w:numPr>
              <w:spacing w:after="0"/>
              <w:ind w:firstLineChars="0"/>
              <w:rPr>
                <w:sz w:val="22"/>
              </w:rPr>
            </w:pPr>
            <w:r w:rsidRPr="007A54A5">
              <w:rPr>
                <w:sz w:val="22"/>
              </w:rPr>
              <w:t>The CB EDT Config has one minimum RSRP threshold (as agreed in RAN2#128) to use CB EDT.</w:t>
            </w:r>
          </w:p>
          <w:p w14:paraId="0014079A" w14:textId="03FECED7" w:rsidR="007A54A5" w:rsidRPr="007A54A5" w:rsidRDefault="007A54A5" w:rsidP="0000587F">
            <w:pPr>
              <w:pStyle w:val="a6"/>
              <w:numPr>
                <w:ilvl w:val="0"/>
                <w:numId w:val="50"/>
              </w:numPr>
              <w:spacing w:after="0"/>
              <w:ind w:firstLineChars="0"/>
              <w:rPr>
                <w:sz w:val="22"/>
              </w:rPr>
            </w:pPr>
            <w:r w:rsidRPr="007A54A5">
              <w:rPr>
                <w:sz w:val="22"/>
              </w:rPr>
              <w:t>The CB EDT Config has two RSRP thresholds for NB-IoT for the three CE levels.</w:t>
            </w:r>
          </w:p>
          <w:p w14:paraId="1B745F29" w14:textId="69E46A12" w:rsidR="007A54A5" w:rsidRPr="007A54A5" w:rsidRDefault="007A54A5" w:rsidP="0000587F">
            <w:pPr>
              <w:pStyle w:val="a6"/>
              <w:numPr>
                <w:ilvl w:val="0"/>
                <w:numId w:val="50"/>
              </w:numPr>
              <w:spacing w:after="0"/>
              <w:ind w:firstLineChars="0"/>
              <w:rPr>
                <w:sz w:val="22"/>
              </w:rPr>
            </w:pPr>
            <w:r w:rsidRPr="007A54A5">
              <w:rPr>
                <w:sz w:val="22"/>
              </w:rPr>
              <w:t>CB EDT Config has three RSRP thresholds for eMTC for the four CE levels.</w:t>
            </w:r>
          </w:p>
          <w:p w14:paraId="56F244EA" w14:textId="77777777" w:rsidR="0000587F" w:rsidRDefault="007A54A5" w:rsidP="0000587F">
            <w:pPr>
              <w:pStyle w:val="a6"/>
              <w:numPr>
                <w:ilvl w:val="0"/>
                <w:numId w:val="50"/>
              </w:numPr>
              <w:spacing w:after="0"/>
              <w:ind w:firstLineChars="0"/>
              <w:rPr>
                <w:sz w:val="22"/>
              </w:rPr>
            </w:pPr>
            <w:r w:rsidRPr="0000587F">
              <w:rPr>
                <w:sz w:val="22"/>
              </w:rPr>
              <w:t>As Signalling design Baseline RAN2 assumes the PUR config and the NPRACH config for shared (N)PUSCH config can be used and some of the parameters can be included in a new CB EDT config.</w:t>
            </w:r>
          </w:p>
          <w:p w14:paraId="1A595EB9" w14:textId="205AD035" w:rsidR="007A54A5" w:rsidRPr="0000587F" w:rsidRDefault="007A54A5" w:rsidP="0000587F">
            <w:pPr>
              <w:pStyle w:val="a6"/>
              <w:numPr>
                <w:ilvl w:val="0"/>
                <w:numId w:val="50"/>
              </w:numPr>
              <w:spacing w:after="0"/>
              <w:ind w:firstLineChars="0"/>
              <w:rPr>
                <w:sz w:val="22"/>
              </w:rPr>
            </w:pPr>
            <w:r w:rsidRPr="0000587F">
              <w:rPr>
                <w:sz w:val="22"/>
              </w:rPr>
              <w:t>RAN2 consider a new CBEDT-ConfigSIB-NB IE for configuring the CB EDT feature</w:t>
            </w:r>
          </w:p>
          <w:p w14:paraId="7193A2A4" w14:textId="77777777" w:rsidR="007A54A5" w:rsidRPr="009E1AF5" w:rsidRDefault="007A54A5" w:rsidP="0000587F">
            <w:pPr>
              <w:rPr>
                <w:rFonts w:ascii="Times New Roman" w:hAnsi="Times New Roman"/>
                <w:b/>
                <w:bCs/>
                <w:sz w:val="22"/>
                <w:lang w:val="en-GB"/>
              </w:rPr>
            </w:pPr>
            <w:r w:rsidRPr="009E1AF5">
              <w:rPr>
                <w:rFonts w:ascii="Times New Roman" w:hAnsi="Times New Roman"/>
                <w:b/>
                <w:bCs/>
                <w:sz w:val="22"/>
                <w:lang w:val="en-GB"/>
              </w:rPr>
              <w:t xml:space="preserve">Working assumption: </w:t>
            </w:r>
          </w:p>
          <w:p w14:paraId="47D359B3" w14:textId="11EA1532" w:rsidR="007A54A5" w:rsidRPr="007A54A5" w:rsidRDefault="007A54A5" w:rsidP="0000587F">
            <w:pPr>
              <w:pStyle w:val="a6"/>
              <w:numPr>
                <w:ilvl w:val="0"/>
                <w:numId w:val="54"/>
              </w:numPr>
              <w:spacing w:after="0"/>
              <w:ind w:firstLineChars="0"/>
              <w:rPr>
                <w:sz w:val="22"/>
              </w:rPr>
            </w:pPr>
            <w:r w:rsidRPr="007A54A5">
              <w:rPr>
                <w:sz w:val="22"/>
              </w:rPr>
              <w:t>One CB-MSG4 can target multiple UEs simultaneously (FFS on the details)</w:t>
            </w:r>
          </w:p>
          <w:p w14:paraId="12250611" w14:textId="49B204CF" w:rsidR="007A54A5" w:rsidRPr="007A54A5" w:rsidRDefault="007A54A5" w:rsidP="0000587F">
            <w:pPr>
              <w:pStyle w:val="a6"/>
              <w:numPr>
                <w:ilvl w:val="0"/>
                <w:numId w:val="54"/>
              </w:numPr>
              <w:spacing w:after="0"/>
              <w:ind w:firstLineChars="0"/>
              <w:rPr>
                <w:sz w:val="22"/>
              </w:rPr>
            </w:pPr>
            <w:r w:rsidRPr="007A54A5">
              <w:rPr>
                <w:sz w:val="22"/>
              </w:rP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31666C14" w14:textId="274A9FAC" w:rsidR="007A54A5" w:rsidRPr="007A54A5" w:rsidRDefault="007A54A5" w:rsidP="0000587F">
            <w:pPr>
              <w:ind w:leftChars="218" w:left="458"/>
              <w:rPr>
                <w:rFonts w:ascii="Times New Roman" w:hAnsi="Times New Roman"/>
                <w:sz w:val="22"/>
                <w:lang w:val="en-GB"/>
              </w:rPr>
            </w:pPr>
            <w:r w:rsidRPr="007A54A5">
              <w:rPr>
                <w:rFonts w:ascii="Times New Roman" w:hAnsi="Times New Roman"/>
                <w:sz w:val="22"/>
                <w:lang w:val="en-GB"/>
              </w:rPr>
              <w:t xml:space="preserve">The UE first selects the next DSA transmission window and then randomly select K replicasinside the window. </w:t>
            </w:r>
          </w:p>
          <w:p w14:paraId="63219010" w14:textId="1A646420" w:rsidR="007A54A5" w:rsidRPr="0000587F" w:rsidRDefault="007A54A5" w:rsidP="0000587F">
            <w:pPr>
              <w:ind w:leftChars="218" w:left="458"/>
              <w:rPr>
                <w:rFonts w:ascii="Times New Roman" w:hAnsi="Times New Roman"/>
                <w:sz w:val="22"/>
                <w:lang w:val="en-GB"/>
              </w:rPr>
            </w:pPr>
            <w:r w:rsidRPr="007A54A5">
              <w:rPr>
                <w:rFonts w:ascii="Times New Roman" w:hAnsi="Times New Roman"/>
                <w:sz w:val="22"/>
                <w:lang w:val="en-GB"/>
              </w:rPr>
              <w:t>RAN2 assumes that a pointer solution is not needed in Rel-19</w:t>
            </w:r>
          </w:p>
        </w:tc>
      </w:tr>
    </w:tbl>
    <w:p w14:paraId="335C3B46" w14:textId="685B42B6" w:rsidR="00F533B4" w:rsidRDefault="009B4F09" w:rsidP="00870C96">
      <w:pPr>
        <w:spacing w:beforeLines="50" w:before="156" w:afterLines="50" w:after="156"/>
        <w:rPr>
          <w:rFonts w:ascii="Times New Roman" w:hAnsi="Times New Roman"/>
          <w:sz w:val="22"/>
        </w:rPr>
      </w:pPr>
      <w:r w:rsidRPr="00671CC7">
        <w:rPr>
          <w:rFonts w:ascii="Times New Roman" w:hAnsi="Times New Roman" w:hint="eastAsia"/>
          <w:sz w:val="22"/>
        </w:rPr>
        <w:lastRenderedPageBreak/>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BE695E">
        <w:rPr>
          <w:rFonts w:ascii="Times New Roman" w:hAnsi="Times New Roman" w:hint="eastAsia"/>
          <w:sz w:val="22"/>
        </w:rPr>
        <w:t>further</w:t>
      </w:r>
      <w:r w:rsidR="00A63B7B">
        <w:rPr>
          <w:rFonts w:ascii="Times New Roman" w:hAnsi="Times New Roman"/>
          <w:sz w:val="22"/>
        </w:rPr>
        <w:t xml:space="preserve"> issues</w:t>
      </w:r>
      <w:r w:rsidR="00D54A2D">
        <w:rPr>
          <w:rFonts w:ascii="Times New Roman" w:hAnsi="Times New Roman"/>
          <w:sz w:val="22"/>
        </w:rPr>
        <w:t xml:space="preserve"> and solutions</w:t>
      </w:r>
      <w:r w:rsidR="00A63B7B">
        <w:rPr>
          <w:rFonts w:ascii="Times New Roman" w:hAnsi="Times New Roman"/>
          <w:sz w:val="22"/>
        </w:rPr>
        <w:t xml:space="preserve"> </w:t>
      </w:r>
      <w:r w:rsidR="00D54A2D">
        <w:rPr>
          <w:rFonts w:ascii="Times New Roman" w:hAnsi="Times New Roman"/>
          <w:sz w:val="22"/>
        </w:rPr>
        <w:t xml:space="preserve">for EDT enhancements in </w:t>
      </w:r>
      <w:r w:rsidR="00A63B7B">
        <w:rPr>
          <w:rFonts w:ascii="Times New Roman" w:hAnsi="Times New Roman"/>
          <w:sz w:val="22"/>
        </w:rPr>
        <w:t>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CF1767C" w14:textId="62AE9E3D" w:rsidR="005E5E58" w:rsidRPr="005E5E58" w:rsidRDefault="00313811" w:rsidP="00870C96">
      <w:pPr>
        <w:spacing w:beforeLines="50" w:before="156" w:afterLines="50" w:after="156"/>
        <w:rPr>
          <w:rFonts w:ascii="Times New Roman" w:hAnsi="Times New Roman"/>
          <w:sz w:val="22"/>
        </w:rPr>
      </w:pPr>
      <w:r>
        <w:rPr>
          <w:rFonts w:ascii="Times New Roman" w:eastAsiaTheme="minorEastAsia" w:hAnsi="Times New Roman" w:hint="eastAsia"/>
          <w:sz w:val="22"/>
        </w:rPr>
        <w:t>C</w:t>
      </w:r>
      <w:r w:rsidR="005E5E58" w:rsidRPr="005E5E58">
        <w:rPr>
          <w:rFonts w:ascii="Times New Roman" w:eastAsiaTheme="minorEastAsia" w:hAnsi="Times New Roman"/>
          <w:sz w:val="22"/>
        </w:rPr>
        <w:t>onsidering the need of supporting massive capacity in terms of number and types of UE, there is a need to identify methods to reduce the necessary uplink and downlink signaling.</w:t>
      </w:r>
      <w:r w:rsidR="005E5E58">
        <w:rPr>
          <w:rFonts w:ascii="Times New Roman" w:eastAsiaTheme="minorEastAsia" w:hAnsi="Times New Roman"/>
          <w:sz w:val="22"/>
        </w:rPr>
        <w:t xml:space="preserve"> From this perspective there are two directions that are to be studied: </w:t>
      </w:r>
      <w:r w:rsidR="005E5E58" w:rsidRPr="005E5E58">
        <w:rPr>
          <w:rFonts w:ascii="Times New Roman" w:eastAsiaTheme="minorEastAsia" w:hAnsi="Times New Roman"/>
          <w:sz w:val="22"/>
        </w:rPr>
        <w:t xml:space="preserve">Msg3 transmission without </w:t>
      </w:r>
      <w:r w:rsidR="005E5E58">
        <w:rPr>
          <w:rFonts w:ascii="Times New Roman" w:eastAsiaTheme="minorEastAsia" w:hAnsi="Times New Roman"/>
          <w:sz w:val="22"/>
        </w:rPr>
        <w:t xml:space="preserve">Msg1/2 and </w:t>
      </w:r>
      <w:r w:rsidR="005E5E58" w:rsidRPr="005E5E58">
        <w:rPr>
          <w:rFonts w:ascii="Times New Roman" w:eastAsiaTheme="minorEastAsia" w:hAnsi="Times New Roman"/>
          <w:sz w:val="22"/>
        </w:rPr>
        <w:t>reduced overhead</w:t>
      </w:r>
      <w:r w:rsidR="005E5E58">
        <w:rPr>
          <w:rFonts w:ascii="Times New Roman" w:eastAsiaTheme="minorEastAsia" w:hAnsi="Times New Roman"/>
          <w:sz w:val="22"/>
        </w:rPr>
        <w:t xml:space="preserve"> reduction</w:t>
      </w:r>
      <w:r w:rsidR="005E5E58" w:rsidRPr="005E5E58">
        <w:rPr>
          <w:rFonts w:ascii="Times New Roman" w:eastAsiaTheme="minorEastAsia" w:hAnsi="Times New Roman"/>
          <w:sz w:val="22"/>
        </w:rPr>
        <w:t xml:space="preserve"> </w:t>
      </w:r>
      <w:r w:rsidR="005E5E58">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5F279E67" w14:textId="0CBBB35C" w:rsidR="00F07E7C" w:rsidRDefault="00F07E7C" w:rsidP="00F07E7C">
      <w:pPr>
        <w:spacing w:beforeLines="50" w:before="156" w:afterLines="50" w:after="156"/>
        <w:rPr>
          <w:rFonts w:ascii="Times New Roman" w:hAnsi="Times New Roman"/>
          <w:sz w:val="22"/>
        </w:rPr>
      </w:pPr>
      <w:r>
        <w:rPr>
          <w:rFonts w:ascii="Times New Roman" w:hAnsi="Times New Roman" w:hint="eastAsia"/>
          <w:sz w:val="22"/>
        </w:rPr>
        <w:t xml:space="preserve">Based on the progress and discussions in previous RAN2 meetings, the RSRP thresholds for using CB EDT and other metrics are almost determined. Moreover, in RAN2#129 it was also agreed that </w:t>
      </w:r>
      <w:r w:rsidRPr="00F07E7C">
        <w:rPr>
          <w:rFonts w:ascii="Times New Roman" w:hAnsi="Times New Roman"/>
          <w:sz w:val="22"/>
        </w:rPr>
        <w:t xml:space="preserve">RAN2 assumes </w:t>
      </w:r>
      <w:r>
        <w:rPr>
          <w:rFonts w:ascii="Times New Roman" w:hAnsi="Times New Roman" w:hint="eastAsia"/>
          <w:sz w:val="22"/>
        </w:rPr>
        <w:t>the t</w:t>
      </w:r>
      <w:r w:rsidRPr="00F07E7C">
        <w:rPr>
          <w:rFonts w:ascii="Times New Roman" w:hAnsi="Times New Roman"/>
          <w:sz w:val="22"/>
        </w:rPr>
        <w:t>ime</w:t>
      </w:r>
      <w:r>
        <w:rPr>
          <w:rFonts w:ascii="Times New Roman" w:hAnsi="Times New Roman" w:hint="eastAsia"/>
          <w:sz w:val="22"/>
        </w:rPr>
        <w:t>/frequency</w:t>
      </w:r>
      <w:r w:rsidRPr="00F07E7C">
        <w:rPr>
          <w:rFonts w:ascii="Times New Roman" w:hAnsi="Times New Roman"/>
          <w:sz w:val="22"/>
        </w:rPr>
        <w:t xml:space="preserve"> domain resources for (N)PUSCH occasions</w:t>
      </w:r>
      <w:r>
        <w:rPr>
          <w:rFonts w:ascii="Times New Roman" w:hAnsi="Times New Roman" w:hint="eastAsia"/>
          <w:sz w:val="22"/>
        </w:rPr>
        <w:t xml:space="preserve">, </w:t>
      </w:r>
      <w:r w:rsidRPr="00F07E7C">
        <w:rPr>
          <w:rFonts w:ascii="Times New Roman" w:hAnsi="Times New Roman"/>
          <w:sz w:val="22"/>
        </w:rPr>
        <w:t>repetition number</w:t>
      </w:r>
      <w:r>
        <w:rPr>
          <w:rFonts w:ascii="Times New Roman" w:hAnsi="Times New Roman" w:hint="eastAsia"/>
          <w:sz w:val="22"/>
        </w:rPr>
        <w:t xml:space="preserve">, </w:t>
      </w:r>
      <w:r w:rsidRPr="00F07E7C">
        <w:rPr>
          <w:rFonts w:ascii="Times New Roman" w:hAnsi="Times New Roman"/>
          <w:sz w:val="22"/>
        </w:rPr>
        <w:t>(N)PDCCH resource</w:t>
      </w:r>
      <w:r>
        <w:rPr>
          <w:rFonts w:ascii="Times New Roman" w:hAnsi="Times New Roman" w:hint="eastAsia"/>
          <w:sz w:val="22"/>
        </w:rPr>
        <w:t xml:space="preserve"> and </w:t>
      </w:r>
      <w:r w:rsidRPr="00F07E7C">
        <w:rPr>
          <w:rFonts w:ascii="Times New Roman" w:hAnsi="Times New Roman"/>
          <w:sz w:val="22"/>
        </w:rPr>
        <w:t>MCS</w:t>
      </w:r>
      <w:r>
        <w:rPr>
          <w:rFonts w:ascii="Times New Roman" w:hAnsi="Times New Roman" w:hint="eastAsia"/>
          <w:sz w:val="22"/>
        </w:rPr>
        <w:t xml:space="preserve"> as part of for</w:t>
      </w:r>
      <w:r w:rsidRPr="00F07E7C">
        <w:rPr>
          <w:rFonts w:ascii="Times New Roman" w:hAnsi="Times New Roman"/>
          <w:sz w:val="22"/>
        </w:rPr>
        <w:t xml:space="preserve"> the shared resources configuration for CB-msg3</w:t>
      </w:r>
      <w:r>
        <w:rPr>
          <w:rFonts w:ascii="Times New Roman" w:hAnsi="Times New Roman" w:hint="eastAsia"/>
          <w:sz w:val="22"/>
        </w:rPr>
        <w:t xml:space="preserve">. Noting that although it has been agreed that </w:t>
      </w:r>
      <w:r w:rsidRPr="00F07E7C">
        <w:rPr>
          <w:rFonts w:ascii="Times New Roman" w:hAnsi="Times New Roman"/>
          <w:sz w:val="22"/>
        </w:rPr>
        <w:t>the RNTI used to schedule Msg4 is derived from the PUSCH resource corresponding to the Msg3 transmission occasion</w:t>
      </w:r>
      <w:r>
        <w:rPr>
          <w:rFonts w:ascii="Times New Roman" w:hAnsi="Times New Roman" w:hint="eastAsia"/>
          <w:sz w:val="22"/>
        </w:rPr>
        <w:t xml:space="preserve">, RAN2 have not decided </w:t>
      </w:r>
      <w:r w:rsidR="004B1C99">
        <w:rPr>
          <w:rFonts w:ascii="Times New Roman" w:hAnsi="Times New Roman" w:hint="eastAsia"/>
          <w:sz w:val="22"/>
        </w:rPr>
        <w:t xml:space="preserve">on the RNTI used for </w:t>
      </w:r>
      <w:r w:rsidR="004B1C99" w:rsidRPr="00F07E7C">
        <w:rPr>
          <w:rFonts w:ascii="Times New Roman" w:hAnsi="Times New Roman"/>
          <w:sz w:val="22"/>
        </w:rPr>
        <w:t>CB-Msg3</w:t>
      </w:r>
      <w:r w:rsidR="004B1C99" w:rsidRPr="004B1C99">
        <w:rPr>
          <w:rFonts w:ascii="Times New Roman" w:hAnsi="Times New Roman"/>
          <w:sz w:val="22"/>
        </w:rPr>
        <w:t xml:space="preserve"> </w:t>
      </w:r>
      <w:r w:rsidR="004B1C99" w:rsidRPr="00F07E7C">
        <w:rPr>
          <w:rFonts w:ascii="Times New Roman" w:hAnsi="Times New Roman"/>
          <w:sz w:val="22"/>
        </w:rPr>
        <w:t>PUSCH transmission</w:t>
      </w:r>
      <w:r w:rsidR="004B1C99">
        <w:rPr>
          <w:rFonts w:ascii="Times New Roman" w:hAnsi="Times New Roman" w:hint="eastAsia"/>
          <w:sz w:val="22"/>
        </w:rPr>
        <w:t xml:space="preserve">, while without Msg2 such RNTI is necessary for Msg3 transmission in CB-EDT. A straight forward way is that the RNTI used for </w:t>
      </w:r>
      <w:r w:rsidR="004B1C99" w:rsidRPr="00F07E7C">
        <w:rPr>
          <w:rFonts w:ascii="Times New Roman" w:hAnsi="Times New Roman"/>
          <w:sz w:val="22"/>
        </w:rPr>
        <w:t>CB-Msg3</w:t>
      </w:r>
      <w:r w:rsidR="004B1C99" w:rsidRPr="004B1C99">
        <w:rPr>
          <w:rFonts w:ascii="Times New Roman" w:hAnsi="Times New Roman"/>
          <w:sz w:val="22"/>
        </w:rPr>
        <w:t xml:space="preserve"> </w:t>
      </w:r>
      <w:r w:rsidR="004B1C99" w:rsidRPr="00F07E7C">
        <w:rPr>
          <w:rFonts w:ascii="Times New Roman" w:hAnsi="Times New Roman"/>
          <w:sz w:val="22"/>
        </w:rPr>
        <w:t>PUSCH transmission</w:t>
      </w:r>
      <w:r w:rsidR="004B1C99">
        <w:rPr>
          <w:rFonts w:ascii="Times New Roman" w:hAnsi="Times New Roman" w:hint="eastAsia"/>
          <w:sz w:val="22"/>
        </w:rPr>
        <w:t xml:space="preserve"> can also be</w:t>
      </w:r>
      <w:r w:rsidR="004B1C99" w:rsidRPr="004B1C99">
        <w:rPr>
          <w:rFonts w:ascii="Times New Roman" w:hAnsi="Times New Roman"/>
          <w:sz w:val="22"/>
        </w:rPr>
        <w:t xml:space="preserve"> </w:t>
      </w:r>
      <w:r w:rsidR="004B1C99" w:rsidRPr="00F07E7C">
        <w:rPr>
          <w:rFonts w:ascii="Times New Roman" w:hAnsi="Times New Roman"/>
          <w:sz w:val="22"/>
        </w:rPr>
        <w:t>derived from the PUSCH resource corresponding to the Msg3 transmission occasion</w:t>
      </w:r>
      <w:r w:rsidR="004B1C99">
        <w:rPr>
          <w:rFonts w:ascii="Times New Roman" w:hAnsi="Times New Roman" w:hint="eastAsia"/>
          <w:sz w:val="22"/>
        </w:rPr>
        <w:t>.</w:t>
      </w:r>
    </w:p>
    <w:p w14:paraId="03608D59" w14:textId="40FCD5A2" w:rsidR="004B1C99" w:rsidRPr="004B1C99" w:rsidRDefault="004B1C99" w:rsidP="00F07E7C">
      <w:pPr>
        <w:spacing w:beforeLines="50" w:before="156" w:afterLines="50" w:after="156"/>
        <w:rPr>
          <w:rFonts w:ascii="Times New Roman" w:hAnsi="Times New Roman"/>
          <w:b/>
          <w:bCs/>
          <w:sz w:val="22"/>
        </w:rPr>
      </w:pPr>
      <w:r w:rsidRPr="004B1C99">
        <w:rPr>
          <w:rFonts w:ascii="Times New Roman" w:hAnsi="Times New Roman" w:hint="eastAsia"/>
          <w:b/>
          <w:bCs/>
          <w:sz w:val="22"/>
        </w:rPr>
        <w:t>Proposal 1: T</w:t>
      </w:r>
      <w:r w:rsidRPr="004B1C99">
        <w:rPr>
          <w:rFonts w:ascii="Times New Roman" w:hAnsi="Times New Roman"/>
          <w:b/>
          <w:bCs/>
          <w:sz w:val="22"/>
        </w:rPr>
        <w:t xml:space="preserve">he RNTI used </w:t>
      </w:r>
      <w:r w:rsidRPr="004B1C99">
        <w:rPr>
          <w:rFonts w:ascii="Times New Roman" w:hAnsi="Times New Roman" w:hint="eastAsia"/>
          <w:b/>
          <w:bCs/>
          <w:sz w:val="22"/>
        </w:rPr>
        <w:t>for CB-EDT Msg3 transmission</w:t>
      </w:r>
      <w:r w:rsidRPr="004B1C99">
        <w:rPr>
          <w:rFonts w:ascii="Times New Roman" w:hAnsi="Times New Roman"/>
          <w:b/>
          <w:bCs/>
          <w:sz w:val="22"/>
        </w:rPr>
        <w:t xml:space="preserve"> is derived from the PUSCH resource corresponding to the Msg3 transmission occasion</w:t>
      </w:r>
      <w:r w:rsidRPr="004B1C99">
        <w:rPr>
          <w:rFonts w:ascii="Times New Roman" w:hAnsi="Times New Roman" w:hint="eastAsia"/>
          <w:b/>
          <w:bCs/>
          <w:sz w:val="22"/>
        </w:rPr>
        <w:t xml:space="preserve"> (same as that for Msg4 scheduling).</w:t>
      </w:r>
    </w:p>
    <w:p w14:paraId="021084D4" w14:textId="4DE7199F" w:rsidR="00F07E7C" w:rsidRDefault="00B044CA" w:rsidP="00870C96">
      <w:pPr>
        <w:spacing w:beforeLines="50" w:before="156" w:afterLines="50" w:after="156"/>
        <w:rPr>
          <w:rFonts w:ascii="Times New Roman" w:hAnsi="Times New Roman"/>
          <w:sz w:val="22"/>
        </w:rPr>
      </w:pPr>
      <w:r w:rsidRPr="00B044CA">
        <w:rPr>
          <w:rFonts w:ascii="Times New Roman" w:hAnsi="Times New Roman"/>
          <w:sz w:val="22"/>
        </w:rPr>
        <w:t>In legacy EDT, UE fallbacks to RRC connection establishment if EDT operation is not successful. If Msg3 transmission without Msg1(preamble)/Msg2(RAR) is supported and not successful, the followed operation including possible backoff or fallback needs to be specified</w:t>
      </w:r>
      <w:r>
        <w:rPr>
          <w:rFonts w:ascii="Times New Roman" w:hAnsi="Times New Roman" w:hint="eastAsia"/>
          <w:sz w:val="22"/>
        </w:rPr>
        <w:t>, with more options than the legacy fallback mechanism, including:</w:t>
      </w:r>
    </w:p>
    <w:p w14:paraId="05D96053" w14:textId="4A1DCF06"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Option 1: UE suspends the EDT operation without Msg1(preamble)/Msg2(RAR) and waits for a next attempt e.g., when UE receives indication of contention from eNB or UE has a timer for contention resolution (Msg4 reception) expired. UE may backoff for a time duration to use the next available resource.</w:t>
      </w:r>
    </w:p>
    <w:p w14:paraId="7F50FBE8" w14:textId="7A4BD883"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Option 2: UE fallbacks to normal EDT (with random access) e.g., when UE receives indication of contention or fallback from eNB or UE has a timer for contention resolution (Msg4 reception) expired.</w:t>
      </w:r>
    </w:p>
    <w:p w14:paraId="590C341B" w14:textId="29F48C77"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 xml:space="preserve">Option 3: </w:t>
      </w:r>
      <w:r w:rsidR="003F5FA8" w:rsidRPr="003F5FA8">
        <w:rPr>
          <w:rFonts w:hint="eastAsia"/>
          <w:sz w:val="22"/>
        </w:rPr>
        <w:t xml:space="preserve">As in legacy EDT, </w:t>
      </w:r>
      <w:r w:rsidRPr="003F5FA8">
        <w:rPr>
          <w:sz w:val="22"/>
        </w:rPr>
        <w:t>UE directly fallbacks to connection establishment to transit to CONNECTED state e.g., when UE receives indication of contention or fallback from eNB or UE has a timer for contention resolution (Msg4 reception) expired.</w:t>
      </w:r>
    </w:p>
    <w:p w14:paraId="0A65FA81" w14:textId="184BC106" w:rsidR="00B044CA" w:rsidRDefault="00C62373" w:rsidP="00870C96">
      <w:pPr>
        <w:spacing w:beforeLines="50" w:before="156" w:afterLines="50" w:after="156"/>
        <w:rPr>
          <w:rFonts w:ascii="Times New Roman" w:hAnsi="Times New Roman"/>
          <w:b/>
          <w:bCs/>
          <w:sz w:val="22"/>
        </w:rPr>
      </w:pPr>
      <w:r w:rsidRPr="00C62373">
        <w:rPr>
          <w:rFonts w:ascii="Times New Roman" w:hAnsi="Times New Roman" w:hint="eastAsia"/>
          <w:b/>
          <w:bCs/>
          <w:sz w:val="22"/>
        </w:rPr>
        <w:t xml:space="preserve">Proposal 2: RAN2 to discuss the fallback schemes for Msg3 transmission failure in </w:t>
      </w:r>
      <w:r w:rsidRPr="00C62373">
        <w:rPr>
          <w:rFonts w:ascii="Times New Roman" w:hAnsi="Times New Roman"/>
          <w:b/>
          <w:bCs/>
          <w:sz w:val="22"/>
        </w:rPr>
        <w:t>CB EDT</w:t>
      </w:r>
      <w:r w:rsidRPr="00C62373">
        <w:rPr>
          <w:rFonts w:ascii="Times New Roman" w:hAnsi="Times New Roman" w:hint="eastAsia"/>
          <w:b/>
          <w:bCs/>
          <w:sz w:val="22"/>
        </w:rPr>
        <w:t>.</w:t>
      </w:r>
    </w:p>
    <w:p w14:paraId="774AB417" w14:textId="3D851CED" w:rsidR="00C62373" w:rsidRDefault="00C62373" w:rsidP="00870C96">
      <w:pPr>
        <w:spacing w:beforeLines="50" w:before="156" w:afterLines="50" w:after="156"/>
        <w:rPr>
          <w:rFonts w:ascii="Times New Roman" w:hAnsi="Times New Roman"/>
          <w:sz w:val="22"/>
        </w:rPr>
      </w:pPr>
      <w:r w:rsidRPr="00C62373">
        <w:rPr>
          <w:rFonts w:ascii="Times New Roman" w:hAnsi="Times New Roman" w:hint="eastAsia"/>
          <w:sz w:val="22"/>
        </w:rPr>
        <w:t>Another fact for</w:t>
      </w:r>
      <w:r w:rsidRPr="00C62373">
        <w:rPr>
          <w:rFonts w:ascii="Times New Roman" w:hAnsi="Times New Roman"/>
          <w:sz w:val="22"/>
        </w:rPr>
        <w:t xml:space="preserve"> NTN</w:t>
      </w:r>
      <w:r w:rsidRPr="00C62373">
        <w:rPr>
          <w:rFonts w:ascii="Times New Roman" w:hAnsi="Times New Roman" w:hint="eastAsia"/>
          <w:sz w:val="22"/>
        </w:rPr>
        <w:t xml:space="preserve"> is that</w:t>
      </w:r>
      <w:r w:rsidRPr="00C62373">
        <w:rPr>
          <w:rFonts w:ascii="Times New Roman" w:hAnsi="Times New Roman"/>
          <w:sz w:val="22"/>
        </w:rPr>
        <w:t xml:space="preserve"> UE needs to pre-compensate the timing advance between UE and the network reference point for UL synchronization before initiating random access. For an EDT operation in such deployment, it is also required for the UE to calculate the pre-compensated timing advance, while the procedures to acquire ephemeris or UE position may interrupt the initiation of EDT.</w:t>
      </w:r>
    </w:p>
    <w:p w14:paraId="1F21A07C" w14:textId="1DD6A0A1" w:rsidR="00C62373" w:rsidRDefault="00C62373" w:rsidP="00870C96">
      <w:pPr>
        <w:spacing w:beforeLines="50" w:before="156" w:afterLines="50" w:after="156"/>
        <w:rPr>
          <w:rFonts w:ascii="Times New Roman" w:hAnsi="Times New Roman"/>
          <w:sz w:val="22"/>
        </w:rPr>
      </w:pPr>
      <w:r>
        <w:rPr>
          <w:rFonts w:ascii="Times New Roman" w:hAnsi="Times New Roman" w:hint="eastAsia"/>
          <w:sz w:val="22"/>
        </w:rPr>
        <w:t>For a CB-EDT initiation that collisions with GNSS position fix or ephemeris acquiring, wither the i</w:t>
      </w:r>
      <w:r w:rsidRPr="00C62373">
        <w:rPr>
          <w:rFonts w:ascii="Times New Roman" w:hAnsi="Times New Roman"/>
          <w:sz w:val="22"/>
        </w:rPr>
        <w:t xml:space="preserve">nitiation of an EDT operation without Msg1(preamble)/Msg2(RAR) </w:t>
      </w:r>
      <w:r>
        <w:rPr>
          <w:rFonts w:ascii="Times New Roman" w:hAnsi="Times New Roman" w:hint="eastAsia"/>
          <w:sz w:val="22"/>
        </w:rPr>
        <w:t>can</w:t>
      </w:r>
      <w:r w:rsidRPr="00C62373">
        <w:rPr>
          <w:rFonts w:ascii="Times New Roman" w:hAnsi="Times New Roman"/>
          <w:sz w:val="22"/>
        </w:rPr>
        <w:t xml:space="preserve"> delayed </w:t>
      </w:r>
      <w:r>
        <w:rPr>
          <w:rFonts w:ascii="Times New Roman" w:hAnsi="Times New Roman" w:hint="eastAsia"/>
          <w:sz w:val="22"/>
        </w:rPr>
        <w:t>until</w:t>
      </w:r>
      <w:r w:rsidRPr="00C62373">
        <w:rPr>
          <w:rFonts w:ascii="Times New Roman" w:hAnsi="Times New Roman"/>
          <w:sz w:val="22"/>
        </w:rPr>
        <w:t xml:space="preserve"> UE </w:t>
      </w:r>
      <w:r>
        <w:rPr>
          <w:rFonts w:ascii="Times New Roman" w:hAnsi="Times New Roman" w:hint="eastAsia"/>
          <w:sz w:val="22"/>
        </w:rPr>
        <w:t>completes</w:t>
      </w:r>
      <w:r w:rsidRPr="00C62373">
        <w:rPr>
          <w:rFonts w:ascii="Times New Roman" w:hAnsi="Times New Roman"/>
          <w:sz w:val="22"/>
        </w:rPr>
        <w:t xml:space="preserve"> GNSS position</w:t>
      </w:r>
      <w:r w:rsidR="00905214">
        <w:rPr>
          <w:rFonts w:ascii="Times New Roman" w:hAnsi="Times New Roman" w:hint="eastAsia"/>
          <w:sz w:val="22"/>
        </w:rPr>
        <w:t xml:space="preserve"> </w:t>
      </w:r>
      <w:r w:rsidR="00905214">
        <w:rPr>
          <w:rFonts w:ascii="Times New Roman" w:hAnsi="Times New Roman" w:hint="eastAsia"/>
          <w:sz w:val="22"/>
        </w:rPr>
        <w:lastRenderedPageBreak/>
        <w:t>fix</w:t>
      </w:r>
      <w:r w:rsidRPr="00C62373">
        <w:rPr>
          <w:rFonts w:ascii="Times New Roman" w:hAnsi="Times New Roman"/>
          <w:sz w:val="22"/>
        </w:rPr>
        <w:t xml:space="preserve"> or ephemeris (SIB31)</w:t>
      </w:r>
      <w:r>
        <w:rPr>
          <w:rFonts w:ascii="Times New Roman" w:hAnsi="Times New Roman" w:hint="eastAsia"/>
          <w:sz w:val="22"/>
        </w:rPr>
        <w:t xml:space="preserve"> acquiring</w:t>
      </w:r>
      <w:r w:rsidR="00905214">
        <w:rPr>
          <w:rFonts w:ascii="Times New Roman" w:hAnsi="Times New Roman" w:hint="eastAsia"/>
          <w:sz w:val="22"/>
        </w:rPr>
        <w:t>,</w:t>
      </w:r>
      <w:r w:rsidRPr="00C62373">
        <w:rPr>
          <w:rFonts w:ascii="Times New Roman" w:hAnsi="Times New Roman"/>
          <w:sz w:val="22"/>
        </w:rPr>
        <w:t xml:space="preserve"> or GNSS position</w:t>
      </w:r>
      <w:r w:rsidR="00905214">
        <w:rPr>
          <w:rFonts w:ascii="Times New Roman" w:hAnsi="Times New Roman" w:hint="eastAsia"/>
          <w:sz w:val="22"/>
        </w:rPr>
        <w:t xml:space="preserve"> fix</w:t>
      </w:r>
      <w:r w:rsidRPr="00C62373">
        <w:rPr>
          <w:rFonts w:ascii="Times New Roman" w:hAnsi="Times New Roman"/>
          <w:sz w:val="22"/>
        </w:rPr>
        <w:t xml:space="preserve"> or ephemeris is suspended (no UL sync loss after validity duration) when an EDT operation without Msg1(preamble)/Msg2(RAR) is triggered.</w:t>
      </w:r>
    </w:p>
    <w:p w14:paraId="5E655F1F" w14:textId="35B57CA6" w:rsidR="00905214" w:rsidRPr="00905214" w:rsidRDefault="00905214" w:rsidP="00870C96">
      <w:pPr>
        <w:spacing w:beforeLines="50" w:before="156" w:afterLines="50" w:after="156"/>
        <w:rPr>
          <w:rFonts w:ascii="Times New Roman" w:hAnsi="Times New Roman"/>
          <w:b/>
          <w:bCs/>
          <w:sz w:val="22"/>
        </w:rPr>
      </w:pPr>
      <w:r w:rsidRPr="00905214">
        <w:rPr>
          <w:rFonts w:ascii="Times New Roman" w:hAnsi="Times New Roman" w:hint="eastAsia"/>
          <w:b/>
          <w:bCs/>
          <w:sz w:val="22"/>
        </w:rPr>
        <w:t>Proposal 3: RAN2 to discuss how to handle the CB-EDT initiation that occurs during GNSS position fix or ephemeris (SIB31) acquiring.</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6B218E7F" w14:textId="3DFA2315" w:rsidR="007B48B5" w:rsidRPr="00BE695E" w:rsidRDefault="003645F2" w:rsidP="00BE695E">
      <w:pPr>
        <w:spacing w:beforeLines="50" w:before="156" w:afterLines="50" w:after="156"/>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r w:rsidR="00BE695E">
        <w:rPr>
          <w:rFonts w:ascii="Times New Roman" w:hAnsi="Times New Roman" w:hint="eastAsia"/>
          <w:sz w:val="22"/>
        </w:rPr>
        <w:t xml:space="preserve"> or</w:t>
      </w:r>
      <w:r w:rsidR="007B48B5" w:rsidRPr="007B48B5">
        <w:rPr>
          <w:rFonts w:ascii="Times New Roman" w:hAnsi="Times New Roman"/>
          <w:b/>
          <w:bCs/>
          <w:sz w:val="22"/>
        </w:rPr>
        <w:t xml:space="preserve"> </w:t>
      </w:r>
      <w:r w:rsidR="007B48B5" w:rsidRPr="00BE695E">
        <w:rPr>
          <w:rFonts w:ascii="Times New Roman" w:hAnsi="Times New Roman"/>
          <w:sz w:val="22"/>
        </w:rPr>
        <w:t>restricting the optional fields in Msg4.</w:t>
      </w:r>
    </w:p>
    <w:p w14:paraId="167E9FC0" w14:textId="00930F75" w:rsidR="007B48B5" w:rsidRDefault="00C00092" w:rsidP="00870C96">
      <w:pPr>
        <w:spacing w:beforeLines="50" w:before="156" w:afterLines="50" w:after="156"/>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Therefore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5363E0BA" w:rsidR="00C00092" w:rsidRPr="001A1CC1" w:rsidRDefault="00C00092" w:rsidP="00870C96">
      <w:pPr>
        <w:pStyle w:val="a6"/>
        <w:numPr>
          <w:ilvl w:val="0"/>
          <w:numId w:val="44"/>
        </w:numPr>
        <w:spacing w:beforeLines="50" w:before="156" w:afterLines="50" w:after="156"/>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870C96">
      <w:pPr>
        <w:pStyle w:val="a6"/>
        <w:numPr>
          <w:ilvl w:val="0"/>
          <w:numId w:val="44"/>
        </w:numPr>
        <w:spacing w:beforeLines="50" w:before="156" w:afterLines="50" w:after="156"/>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40060B2B" w14:textId="317D3B33" w:rsidR="003645F2" w:rsidRDefault="005009D0" w:rsidP="00870C96">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herefore the following directions can be further discussed:</w:t>
      </w:r>
    </w:p>
    <w:p w14:paraId="15F184E8" w14:textId="41DCAD14" w:rsidR="005009D0" w:rsidRPr="003464B7" w:rsidRDefault="005009D0"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sidR="00BE695E">
        <w:rPr>
          <w:rFonts w:ascii="Times New Roman" w:hAnsi="Times New Roman" w:hint="eastAsia"/>
          <w:b/>
          <w:bCs/>
          <w:sz w:val="22"/>
        </w:rPr>
        <w:t>4</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r w:rsidRPr="003464B7">
        <w:rPr>
          <w:b/>
          <w:bCs/>
          <w:sz w:val="22"/>
        </w:rPr>
        <w:t>;</w:t>
      </w:r>
    </w:p>
    <w:p w14:paraId="5156BE7E" w14:textId="32885604" w:rsidR="005009D0" w:rsidRPr="005009D0"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8923D61" w:rsidR="00A90536" w:rsidRDefault="00886071" w:rsidP="00BE695E">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E695E">
        <w:rPr>
          <w:rFonts w:ascii="Times New Roman" w:hAnsi="Times New Roman" w:hint="eastAsia"/>
          <w:sz w:val="22"/>
        </w:rPr>
        <w:t>proposals</w:t>
      </w:r>
      <w:r w:rsidR="009A4608">
        <w:rPr>
          <w:rFonts w:ascii="Times New Roman" w:hAnsi="Times New Roman"/>
          <w:sz w:val="22"/>
        </w:rPr>
        <w:t xml:space="preserve"> are given:</w:t>
      </w:r>
    </w:p>
    <w:p w14:paraId="6A220DC7" w14:textId="77777777" w:rsidR="00905214" w:rsidRPr="004B1C99" w:rsidRDefault="00905214" w:rsidP="00905214">
      <w:pPr>
        <w:spacing w:beforeLines="50" w:before="156" w:afterLines="50" w:after="156"/>
        <w:rPr>
          <w:rFonts w:ascii="Times New Roman" w:hAnsi="Times New Roman"/>
          <w:b/>
          <w:bCs/>
          <w:sz w:val="22"/>
        </w:rPr>
      </w:pPr>
      <w:r w:rsidRPr="004B1C99">
        <w:rPr>
          <w:rFonts w:ascii="Times New Roman" w:hAnsi="Times New Roman" w:hint="eastAsia"/>
          <w:b/>
          <w:bCs/>
          <w:sz w:val="22"/>
        </w:rPr>
        <w:t>Proposal 1: T</w:t>
      </w:r>
      <w:r w:rsidRPr="004B1C99">
        <w:rPr>
          <w:rFonts w:ascii="Times New Roman" w:hAnsi="Times New Roman"/>
          <w:b/>
          <w:bCs/>
          <w:sz w:val="22"/>
        </w:rPr>
        <w:t xml:space="preserve">he RNTI used </w:t>
      </w:r>
      <w:r w:rsidRPr="004B1C99">
        <w:rPr>
          <w:rFonts w:ascii="Times New Roman" w:hAnsi="Times New Roman" w:hint="eastAsia"/>
          <w:b/>
          <w:bCs/>
          <w:sz w:val="22"/>
        </w:rPr>
        <w:t>for CB-EDT Msg3 transmission</w:t>
      </w:r>
      <w:r w:rsidRPr="004B1C99">
        <w:rPr>
          <w:rFonts w:ascii="Times New Roman" w:hAnsi="Times New Roman"/>
          <w:b/>
          <w:bCs/>
          <w:sz w:val="22"/>
        </w:rPr>
        <w:t xml:space="preserve"> is derived from the PUSCH resource corresponding to the Msg3 transmission occasion</w:t>
      </w:r>
      <w:r w:rsidRPr="004B1C99">
        <w:rPr>
          <w:rFonts w:ascii="Times New Roman" w:hAnsi="Times New Roman" w:hint="eastAsia"/>
          <w:b/>
          <w:bCs/>
          <w:sz w:val="22"/>
        </w:rPr>
        <w:t xml:space="preserve"> (same as that for Msg4 scheduling).</w:t>
      </w:r>
    </w:p>
    <w:p w14:paraId="37777475" w14:textId="77777777" w:rsidR="00905214" w:rsidRDefault="00905214" w:rsidP="00905214">
      <w:pPr>
        <w:spacing w:beforeLines="50" w:before="156" w:afterLines="50" w:after="156"/>
        <w:rPr>
          <w:rFonts w:ascii="Times New Roman" w:hAnsi="Times New Roman"/>
          <w:b/>
          <w:bCs/>
          <w:sz w:val="22"/>
        </w:rPr>
      </w:pPr>
      <w:r w:rsidRPr="00C62373">
        <w:rPr>
          <w:rFonts w:ascii="Times New Roman" w:hAnsi="Times New Roman" w:hint="eastAsia"/>
          <w:b/>
          <w:bCs/>
          <w:sz w:val="22"/>
        </w:rPr>
        <w:t xml:space="preserve">Proposal 2: RAN2 to discuss the fallback schemes for Msg3 transmission failure in </w:t>
      </w:r>
      <w:r w:rsidRPr="00C62373">
        <w:rPr>
          <w:rFonts w:ascii="Times New Roman" w:hAnsi="Times New Roman"/>
          <w:b/>
          <w:bCs/>
          <w:sz w:val="22"/>
        </w:rPr>
        <w:t>CB EDT</w:t>
      </w:r>
      <w:r w:rsidRPr="00C62373">
        <w:rPr>
          <w:rFonts w:ascii="Times New Roman" w:hAnsi="Times New Roman" w:hint="eastAsia"/>
          <w:b/>
          <w:bCs/>
          <w:sz w:val="22"/>
        </w:rPr>
        <w:t>.</w:t>
      </w:r>
    </w:p>
    <w:p w14:paraId="7CBB878A" w14:textId="77777777" w:rsidR="00905214" w:rsidRPr="00905214" w:rsidRDefault="00905214" w:rsidP="00905214">
      <w:pPr>
        <w:spacing w:beforeLines="50" w:before="156" w:afterLines="50" w:after="156"/>
        <w:rPr>
          <w:rFonts w:ascii="Times New Roman" w:hAnsi="Times New Roman"/>
          <w:b/>
          <w:bCs/>
          <w:sz w:val="22"/>
        </w:rPr>
      </w:pPr>
      <w:r w:rsidRPr="00905214">
        <w:rPr>
          <w:rFonts w:ascii="Times New Roman" w:hAnsi="Times New Roman" w:hint="eastAsia"/>
          <w:b/>
          <w:bCs/>
          <w:sz w:val="22"/>
        </w:rPr>
        <w:t>Proposal 3: RAN2 to discuss how to handle the CB-EDT initiation that occurs during GNSS position fix or ephemeris (SIB31) acquiring.</w:t>
      </w:r>
    </w:p>
    <w:p w14:paraId="414BAD92" w14:textId="77777777" w:rsidR="00905214" w:rsidRPr="003464B7" w:rsidRDefault="00905214" w:rsidP="00905214">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hint="eastAsia"/>
          <w:b/>
          <w:bCs/>
          <w:sz w:val="22"/>
        </w:rPr>
        <w:t>4</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0F4E9E5F" w14:textId="77777777" w:rsidR="00905214" w:rsidRPr="003464B7" w:rsidRDefault="00905214" w:rsidP="00905214">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r w:rsidRPr="003464B7">
        <w:rPr>
          <w:b/>
          <w:bCs/>
          <w:sz w:val="22"/>
        </w:rPr>
        <w:t>;</w:t>
      </w:r>
    </w:p>
    <w:p w14:paraId="18478002" w14:textId="77E25468" w:rsidR="005C389C" w:rsidRPr="00905214" w:rsidRDefault="00905214" w:rsidP="00905214">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sectPr w:rsidR="005C389C" w:rsidRPr="0090521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D550" w14:textId="77777777" w:rsidR="005A7DEA" w:rsidRDefault="005A7DEA">
      <w:r>
        <w:separator/>
      </w:r>
    </w:p>
  </w:endnote>
  <w:endnote w:type="continuationSeparator" w:id="0">
    <w:p w14:paraId="4F64FA84" w14:textId="77777777" w:rsidR="005A7DEA" w:rsidRDefault="005A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22E3" w14:textId="77777777" w:rsidR="005A7DEA" w:rsidRDefault="005A7DEA">
      <w:r>
        <w:separator/>
      </w:r>
    </w:p>
  </w:footnote>
  <w:footnote w:type="continuationSeparator" w:id="0">
    <w:p w14:paraId="653CA418" w14:textId="77777777" w:rsidR="005A7DEA" w:rsidRDefault="005A7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72D"/>
    <w:multiLevelType w:val="hybridMultilevel"/>
    <w:tmpl w:val="0D7CAC4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2709C2"/>
    <w:multiLevelType w:val="hybridMultilevel"/>
    <w:tmpl w:val="1C0660F0"/>
    <w:lvl w:ilvl="0" w:tplc="C316C2B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9472A8"/>
    <w:multiLevelType w:val="hybridMultilevel"/>
    <w:tmpl w:val="6F8CCB98"/>
    <w:lvl w:ilvl="0" w:tplc="F118BF78">
      <w:start w:val="1"/>
      <w:numFmt w:val="decimal"/>
      <w:lvlText w:val="%1."/>
      <w:lvlJc w:val="left"/>
      <w:pPr>
        <w:ind w:left="440" w:hanging="440"/>
      </w:pPr>
      <w:rPr>
        <w:rFonts w:hint="eastAsia"/>
      </w:rPr>
    </w:lvl>
    <w:lvl w:ilvl="1" w:tplc="2DF42FC4">
      <w:start w:val="3"/>
      <w:numFmt w:val="bullet"/>
      <w:lvlText w:val="-"/>
      <w:lvlJc w:val="left"/>
      <w:pPr>
        <w:ind w:left="860" w:hanging="420"/>
      </w:pPr>
      <w:rPr>
        <w:rFonts w:ascii="Times New Roman" w:eastAsia="宋体"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0B79E9"/>
    <w:multiLevelType w:val="hybridMultilevel"/>
    <w:tmpl w:val="6826177C"/>
    <w:lvl w:ilvl="0" w:tplc="FFFFFFFF">
      <w:start w:val="7"/>
      <w:numFmt w:val="bullet"/>
      <w:lvlText w:val="-"/>
      <w:lvlJc w:val="left"/>
      <w:pPr>
        <w:ind w:left="440" w:hanging="440"/>
      </w:pPr>
      <w:rPr>
        <w:rFonts w:ascii="Calibri" w:eastAsia="宋体" w:hAnsi="Calibri" w:hint="default"/>
      </w:rPr>
    </w:lvl>
    <w:lvl w:ilvl="1" w:tplc="5EDEF0B0">
      <w:start w:val="7"/>
      <w:numFmt w:val="bullet"/>
      <w:lvlText w:val="-"/>
      <w:lvlJc w:val="left"/>
      <w:pPr>
        <w:ind w:left="880" w:hanging="440"/>
      </w:pPr>
      <w:rPr>
        <w:rFonts w:ascii="Calibri" w:eastAsia="宋体"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7B095C"/>
    <w:multiLevelType w:val="hybridMultilevel"/>
    <w:tmpl w:val="40D0CABA"/>
    <w:lvl w:ilvl="0" w:tplc="F8509FEA">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D24AB1"/>
    <w:multiLevelType w:val="hybridMultilevel"/>
    <w:tmpl w:val="4C5E28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DB02B5"/>
    <w:multiLevelType w:val="hybridMultilevel"/>
    <w:tmpl w:val="0A5CE9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1201E7"/>
    <w:multiLevelType w:val="hybridMultilevel"/>
    <w:tmpl w:val="6A90B0E6"/>
    <w:lvl w:ilvl="0" w:tplc="F90E15A8">
      <w:start w:val="1"/>
      <w:numFmt w:val="decimal"/>
      <w:lvlText w:val="%1."/>
      <w:lvlJc w:val="left"/>
      <w:pPr>
        <w:ind w:left="440" w:hanging="440"/>
      </w:pPr>
      <w:rPr>
        <w:rFonts w:hint="eastAsia"/>
      </w:rPr>
    </w:lvl>
    <w:lvl w:ilvl="1" w:tplc="FFFFFFFF">
      <w:start w:val="3"/>
      <w:numFmt w:val="bullet"/>
      <w:lvlText w:val="-"/>
      <w:lvlJc w:val="left"/>
      <w:pPr>
        <w:ind w:left="860" w:hanging="420"/>
      </w:pPr>
      <w:rPr>
        <w:rFonts w:ascii="Times New Roman" w:eastAsia="宋体" w:hAnsi="Times New Roman" w:cs="Times New Roman"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A587FE5"/>
    <w:multiLevelType w:val="hybridMultilevel"/>
    <w:tmpl w:val="903815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7DBE3C8E"/>
    <w:multiLevelType w:val="hybridMultilevel"/>
    <w:tmpl w:val="C3DC4A7C"/>
    <w:lvl w:ilvl="0" w:tplc="5EDEF0B0">
      <w:start w:val="7"/>
      <w:numFmt w:val="bullet"/>
      <w:lvlText w:val="-"/>
      <w:lvlJc w:val="left"/>
      <w:pPr>
        <w:ind w:left="440" w:hanging="440"/>
      </w:pPr>
      <w:rPr>
        <w:rFonts w:ascii="Calibri" w:eastAsia="宋体" w:hAnsi="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9"/>
  </w:num>
  <w:num w:numId="2" w16cid:durableId="1984658315">
    <w:abstractNumId w:val="5"/>
  </w:num>
  <w:num w:numId="3" w16cid:durableId="722876610">
    <w:abstractNumId w:val="48"/>
  </w:num>
  <w:num w:numId="4" w16cid:durableId="859195836">
    <w:abstractNumId w:val="47"/>
  </w:num>
  <w:num w:numId="5" w16cid:durableId="220140937">
    <w:abstractNumId w:val="16"/>
  </w:num>
  <w:num w:numId="6" w16cid:durableId="1734040883">
    <w:abstractNumId w:val="38"/>
  </w:num>
  <w:num w:numId="7" w16cid:durableId="2045521902">
    <w:abstractNumId w:val="10"/>
  </w:num>
  <w:num w:numId="8" w16cid:durableId="163935166">
    <w:abstractNumId w:val="25"/>
  </w:num>
  <w:num w:numId="9" w16cid:durableId="1679574324">
    <w:abstractNumId w:val="9"/>
  </w:num>
  <w:num w:numId="10" w16cid:durableId="75370074">
    <w:abstractNumId w:val="27"/>
  </w:num>
  <w:num w:numId="11" w16cid:durableId="1796754296">
    <w:abstractNumId w:val="6"/>
  </w:num>
  <w:num w:numId="12" w16cid:durableId="384646512">
    <w:abstractNumId w:val="23"/>
  </w:num>
  <w:num w:numId="13" w16cid:durableId="1573813467">
    <w:abstractNumId w:val="31"/>
  </w:num>
  <w:num w:numId="14" w16cid:durableId="1493519478">
    <w:abstractNumId w:val="11"/>
  </w:num>
  <w:num w:numId="15" w16cid:durableId="127743599">
    <w:abstractNumId w:val="50"/>
  </w:num>
  <w:num w:numId="16" w16cid:durableId="1895191140">
    <w:abstractNumId w:val="51"/>
  </w:num>
  <w:num w:numId="17" w16cid:durableId="828903070">
    <w:abstractNumId w:val="4"/>
  </w:num>
  <w:num w:numId="18" w16cid:durableId="1821799038">
    <w:abstractNumId w:val="14"/>
  </w:num>
  <w:num w:numId="19" w16cid:durableId="985160454">
    <w:abstractNumId w:val="30"/>
  </w:num>
  <w:num w:numId="20" w16cid:durableId="1390036946">
    <w:abstractNumId w:val="3"/>
  </w:num>
  <w:num w:numId="21" w16cid:durableId="381757924">
    <w:abstractNumId w:val="35"/>
  </w:num>
  <w:num w:numId="22" w16cid:durableId="1834640208">
    <w:abstractNumId w:val="8"/>
  </w:num>
  <w:num w:numId="23" w16cid:durableId="303239897">
    <w:abstractNumId w:val="22"/>
  </w:num>
  <w:num w:numId="24" w16cid:durableId="1178815800">
    <w:abstractNumId w:val="15"/>
  </w:num>
  <w:num w:numId="25" w16cid:durableId="1387993154">
    <w:abstractNumId w:val="34"/>
  </w:num>
  <w:num w:numId="26" w16cid:durableId="940138824">
    <w:abstractNumId w:val="37"/>
  </w:num>
  <w:num w:numId="27" w16cid:durableId="871189877">
    <w:abstractNumId w:val="33"/>
  </w:num>
  <w:num w:numId="28" w16cid:durableId="418596070">
    <w:abstractNumId w:val="53"/>
  </w:num>
  <w:num w:numId="29" w16cid:durableId="1149438441">
    <w:abstractNumId w:val="28"/>
  </w:num>
  <w:num w:numId="30" w16cid:durableId="1023165204">
    <w:abstractNumId w:val="49"/>
  </w:num>
  <w:num w:numId="31" w16cid:durableId="730009029">
    <w:abstractNumId w:val="21"/>
  </w:num>
  <w:num w:numId="32" w16cid:durableId="2073652555">
    <w:abstractNumId w:val="19"/>
  </w:num>
  <w:num w:numId="33" w16cid:durableId="483818738">
    <w:abstractNumId w:val="20"/>
  </w:num>
  <w:num w:numId="34" w16cid:durableId="131290464">
    <w:abstractNumId w:val="12"/>
  </w:num>
  <w:num w:numId="35" w16cid:durableId="95028661">
    <w:abstractNumId w:val="41"/>
  </w:num>
  <w:num w:numId="36" w16cid:durableId="1685277302">
    <w:abstractNumId w:val="40"/>
  </w:num>
  <w:num w:numId="37" w16cid:durableId="1056201746">
    <w:abstractNumId w:val="42"/>
  </w:num>
  <w:num w:numId="38" w16cid:durableId="320888914">
    <w:abstractNumId w:val="1"/>
  </w:num>
  <w:num w:numId="39" w16cid:durableId="1659652012">
    <w:abstractNumId w:val="2"/>
  </w:num>
  <w:num w:numId="40" w16cid:durableId="484321327">
    <w:abstractNumId w:val="32"/>
  </w:num>
  <w:num w:numId="41" w16cid:durableId="188684709">
    <w:abstractNumId w:val="46"/>
  </w:num>
  <w:num w:numId="42" w16cid:durableId="871650031">
    <w:abstractNumId w:val="13"/>
  </w:num>
  <w:num w:numId="43" w16cid:durableId="1778141025">
    <w:abstractNumId w:val="17"/>
  </w:num>
  <w:num w:numId="44" w16cid:durableId="959801894">
    <w:abstractNumId w:val="54"/>
  </w:num>
  <w:num w:numId="45" w16cid:durableId="1804470047">
    <w:abstractNumId w:val="44"/>
  </w:num>
  <w:num w:numId="46" w16cid:durableId="1995912125">
    <w:abstractNumId w:val="7"/>
  </w:num>
  <w:num w:numId="47" w16cid:durableId="1044906976">
    <w:abstractNumId w:val="45"/>
  </w:num>
  <w:num w:numId="48" w16cid:durableId="1773889359">
    <w:abstractNumId w:val="0"/>
  </w:num>
  <w:num w:numId="49" w16cid:durableId="52504820">
    <w:abstractNumId w:val="36"/>
  </w:num>
  <w:num w:numId="50" w16cid:durableId="729814885">
    <w:abstractNumId w:val="18"/>
  </w:num>
  <w:num w:numId="51" w16cid:durableId="377361185">
    <w:abstractNumId w:val="26"/>
  </w:num>
  <w:num w:numId="52" w16cid:durableId="607196964">
    <w:abstractNumId w:val="52"/>
  </w:num>
  <w:num w:numId="53" w16cid:durableId="800346999">
    <w:abstractNumId w:val="24"/>
  </w:num>
  <w:num w:numId="54" w16cid:durableId="930434848">
    <w:abstractNumId w:val="43"/>
  </w:num>
  <w:num w:numId="55" w16cid:durableId="22796437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587F"/>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3764"/>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ACD"/>
    <w:rsid w:val="00131FE4"/>
    <w:rsid w:val="00132275"/>
    <w:rsid w:val="00134295"/>
    <w:rsid w:val="00134564"/>
    <w:rsid w:val="00134656"/>
    <w:rsid w:val="001346BB"/>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3B4F"/>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6C7"/>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0E8"/>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3F29"/>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1C9E"/>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958"/>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AD9"/>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11"/>
    <w:rsid w:val="00313898"/>
    <w:rsid w:val="00313EB8"/>
    <w:rsid w:val="00313F8E"/>
    <w:rsid w:val="00314175"/>
    <w:rsid w:val="00314600"/>
    <w:rsid w:val="00314920"/>
    <w:rsid w:val="00314D6F"/>
    <w:rsid w:val="00314EF9"/>
    <w:rsid w:val="0031515C"/>
    <w:rsid w:val="00315932"/>
    <w:rsid w:val="003163E2"/>
    <w:rsid w:val="0031675A"/>
    <w:rsid w:val="00316BF8"/>
    <w:rsid w:val="0031752E"/>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0D8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2C6"/>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839"/>
    <w:rsid w:val="0039198E"/>
    <w:rsid w:val="00391A33"/>
    <w:rsid w:val="00392382"/>
    <w:rsid w:val="003924F6"/>
    <w:rsid w:val="00392BF5"/>
    <w:rsid w:val="0039317E"/>
    <w:rsid w:val="003931D6"/>
    <w:rsid w:val="003938EB"/>
    <w:rsid w:val="003939F8"/>
    <w:rsid w:val="00393E13"/>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47"/>
    <w:rsid w:val="003B207C"/>
    <w:rsid w:val="003B2092"/>
    <w:rsid w:val="003B209D"/>
    <w:rsid w:val="003B2AF1"/>
    <w:rsid w:val="003B2CB6"/>
    <w:rsid w:val="003B2EDF"/>
    <w:rsid w:val="003B333C"/>
    <w:rsid w:val="003B333E"/>
    <w:rsid w:val="003B367B"/>
    <w:rsid w:val="003B459D"/>
    <w:rsid w:val="003B49D7"/>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4F7"/>
    <w:rsid w:val="003E7785"/>
    <w:rsid w:val="003F003E"/>
    <w:rsid w:val="003F07D3"/>
    <w:rsid w:val="003F10DC"/>
    <w:rsid w:val="003F16D0"/>
    <w:rsid w:val="003F2089"/>
    <w:rsid w:val="003F27E1"/>
    <w:rsid w:val="003F325E"/>
    <w:rsid w:val="003F42DD"/>
    <w:rsid w:val="003F4816"/>
    <w:rsid w:val="003F5497"/>
    <w:rsid w:val="003F5FA8"/>
    <w:rsid w:val="003F6E45"/>
    <w:rsid w:val="003F6E8F"/>
    <w:rsid w:val="0040046C"/>
    <w:rsid w:val="004006D9"/>
    <w:rsid w:val="00401797"/>
    <w:rsid w:val="004025BA"/>
    <w:rsid w:val="00402969"/>
    <w:rsid w:val="00402A40"/>
    <w:rsid w:val="004050CB"/>
    <w:rsid w:val="00405C99"/>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186"/>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00B"/>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C99"/>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A7DE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50D"/>
    <w:rsid w:val="006028AE"/>
    <w:rsid w:val="00602954"/>
    <w:rsid w:val="00603667"/>
    <w:rsid w:val="00603682"/>
    <w:rsid w:val="00604043"/>
    <w:rsid w:val="006040C2"/>
    <w:rsid w:val="006055B7"/>
    <w:rsid w:val="0060566F"/>
    <w:rsid w:val="006062A3"/>
    <w:rsid w:val="00606362"/>
    <w:rsid w:val="006066C2"/>
    <w:rsid w:val="00606A34"/>
    <w:rsid w:val="00606E72"/>
    <w:rsid w:val="0060700A"/>
    <w:rsid w:val="00607ACD"/>
    <w:rsid w:val="006103E8"/>
    <w:rsid w:val="00610C95"/>
    <w:rsid w:val="0061115E"/>
    <w:rsid w:val="00611EA2"/>
    <w:rsid w:val="0061231F"/>
    <w:rsid w:val="006126F9"/>
    <w:rsid w:val="00612FA1"/>
    <w:rsid w:val="00613660"/>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34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C27"/>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29E"/>
    <w:rsid w:val="00785699"/>
    <w:rsid w:val="007861D8"/>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4A5"/>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0505"/>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C96"/>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6F5"/>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2D90"/>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4A13"/>
    <w:rsid w:val="00905214"/>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2767"/>
    <w:rsid w:val="009435C9"/>
    <w:rsid w:val="00943E79"/>
    <w:rsid w:val="00943FA2"/>
    <w:rsid w:val="00944667"/>
    <w:rsid w:val="00944FC4"/>
    <w:rsid w:val="00945290"/>
    <w:rsid w:val="009456A6"/>
    <w:rsid w:val="00945AB0"/>
    <w:rsid w:val="00945D69"/>
    <w:rsid w:val="00946507"/>
    <w:rsid w:val="00946573"/>
    <w:rsid w:val="00946A47"/>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35C"/>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977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1AF5"/>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4464"/>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6BEF"/>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B7C"/>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4CA"/>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B9A"/>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245"/>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1C80"/>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695E"/>
    <w:rsid w:val="00BE7260"/>
    <w:rsid w:val="00BE73A4"/>
    <w:rsid w:val="00BF15F2"/>
    <w:rsid w:val="00BF1A45"/>
    <w:rsid w:val="00BF20F7"/>
    <w:rsid w:val="00BF21DC"/>
    <w:rsid w:val="00BF249B"/>
    <w:rsid w:val="00BF24D6"/>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73"/>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8FF"/>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08F"/>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9"/>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8EB"/>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1DF"/>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068"/>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518"/>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164"/>
    <w:rsid w:val="00E50274"/>
    <w:rsid w:val="00E51912"/>
    <w:rsid w:val="00E51A64"/>
    <w:rsid w:val="00E5206E"/>
    <w:rsid w:val="00E52704"/>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29F9"/>
    <w:rsid w:val="00EB430C"/>
    <w:rsid w:val="00EB4A7A"/>
    <w:rsid w:val="00EB5124"/>
    <w:rsid w:val="00EB564D"/>
    <w:rsid w:val="00EB5B7C"/>
    <w:rsid w:val="00EB5BAB"/>
    <w:rsid w:val="00EB5C86"/>
    <w:rsid w:val="00EB5F04"/>
    <w:rsid w:val="00EB735D"/>
    <w:rsid w:val="00EC0254"/>
    <w:rsid w:val="00EC0419"/>
    <w:rsid w:val="00EC09DC"/>
    <w:rsid w:val="00EC0CD8"/>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F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07E7C"/>
    <w:rsid w:val="00F10344"/>
    <w:rsid w:val="00F10424"/>
    <w:rsid w:val="00F1105A"/>
    <w:rsid w:val="00F111E7"/>
    <w:rsid w:val="00F11305"/>
    <w:rsid w:val="00F11323"/>
    <w:rsid w:val="00F11571"/>
    <w:rsid w:val="00F115B9"/>
    <w:rsid w:val="00F1175E"/>
    <w:rsid w:val="00F117E3"/>
    <w:rsid w:val="00F11C05"/>
    <w:rsid w:val="00F11C93"/>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C7A95"/>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9815</TotalTime>
  <Pages>3</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274</cp:revision>
  <cp:lastPrinted>2012-10-30T00:20:00Z</cp:lastPrinted>
  <dcterms:created xsi:type="dcterms:W3CDTF">2020-08-03T07:44:00Z</dcterms:created>
  <dcterms:modified xsi:type="dcterms:W3CDTF">2025-03-27T08:52:00Z</dcterms:modified>
</cp:coreProperties>
</file>